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C3" w:rsidRPr="00B60BC1" w:rsidRDefault="001B03C3" w:rsidP="00B60BC1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BC1">
        <w:rPr>
          <w:rFonts w:ascii="Times New Roman" w:hAnsi="Times New Roman" w:cs="Times New Roman"/>
          <w:b/>
          <w:bCs/>
          <w:sz w:val="28"/>
          <w:szCs w:val="28"/>
        </w:rPr>
        <w:t>ВЛИЯНИЕ СОЛНЕЧНЫХ ВСПЫШЕК НА ЧАСТОТЫ ШУМАНОВСКОГО РЕЗОНАНСА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Е.С. Гончаров (1), А.Н. Ляхов (2), Т.В. Лосева </w:t>
      </w:r>
      <w:r>
        <w:rPr>
          <w:rFonts w:ascii="Times New Roman" w:hAnsi="Times New Roman" w:cs="Times New Roman"/>
          <w:sz w:val="20"/>
          <w:szCs w:val="20"/>
        </w:rPr>
        <w:t>(1</w:t>
      </w:r>
      <w:r w:rsidRPr="00CB703F">
        <w:rPr>
          <w:rFonts w:ascii="Times New Roman" w:hAnsi="Times New Roman" w:cs="Times New Roman"/>
          <w:sz w:val="20"/>
          <w:szCs w:val="20"/>
        </w:rPr>
        <w:t>,</w:t>
      </w:r>
      <w:r w:rsidRPr="00B60BC1">
        <w:rPr>
          <w:rFonts w:ascii="Times New Roman" w:hAnsi="Times New Roman" w:cs="Times New Roman"/>
          <w:sz w:val="20"/>
          <w:szCs w:val="20"/>
        </w:rPr>
        <w:t>2)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(1) ФГУП “Всероссийский научно-исследовательский институт автоматики им. Духова”, Москва, Россия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(2) ФГБУН “Институт динамики геосфер”, Москва, Россия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0BC1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B60BC1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eggoncharov</w:t>
        </w:r>
        <w:r w:rsidRPr="00B60BC1">
          <w:rPr>
            <w:rStyle w:val="Hyperlink"/>
            <w:rFonts w:ascii="Times New Roman" w:hAnsi="Times New Roman" w:cs="Times New Roman"/>
            <w:sz w:val="20"/>
            <w:szCs w:val="20"/>
          </w:rPr>
          <w:t>@</w:t>
        </w:r>
        <w:r w:rsidRPr="00B60BC1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B60BC1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  <w:r w:rsidRPr="00B60BC1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B03C3" w:rsidRPr="00B60BC1" w:rsidRDefault="001B03C3" w:rsidP="001D09E9">
      <w:pPr>
        <w:tabs>
          <w:tab w:val="left" w:pos="8222"/>
        </w:tabs>
        <w:spacing w:line="240" w:lineRule="auto"/>
        <w:ind w:left="567" w:right="113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В данной статье описывается построение </w:t>
      </w:r>
      <w:r>
        <w:rPr>
          <w:rFonts w:ascii="Times New Roman" w:hAnsi="Times New Roman" w:cs="Times New Roman"/>
          <w:sz w:val="20"/>
          <w:szCs w:val="20"/>
        </w:rPr>
        <w:t xml:space="preserve">программного </w:t>
      </w:r>
      <w:r w:rsidRPr="00B60BC1">
        <w:rPr>
          <w:rFonts w:ascii="Times New Roman" w:hAnsi="Times New Roman" w:cs="Times New Roman"/>
          <w:sz w:val="20"/>
          <w:szCs w:val="20"/>
        </w:rPr>
        <w:t xml:space="preserve">модуля для </w:t>
      </w:r>
      <w:r>
        <w:rPr>
          <w:rFonts w:ascii="Times New Roman" w:hAnsi="Times New Roman" w:cs="Times New Roman"/>
          <w:sz w:val="20"/>
          <w:szCs w:val="20"/>
        </w:rPr>
        <w:t>расчета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параметров резонанса в сферической полости Земля-ионосфера методом конечных элементов в трехмерной постановке. В случ</w:t>
      </w:r>
      <w:r>
        <w:rPr>
          <w:rFonts w:ascii="Times New Roman" w:hAnsi="Times New Roman" w:cs="Times New Roman"/>
          <w:sz w:val="20"/>
          <w:szCs w:val="20"/>
        </w:rPr>
        <w:t>ае невозмущенной ионосферы</w:t>
      </w:r>
      <w:r w:rsidRPr="00CB70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Шумановский резонанс рассчитывался</w:t>
      </w:r>
      <w:r w:rsidRPr="00B60BC1">
        <w:rPr>
          <w:rFonts w:ascii="Times New Roman" w:hAnsi="Times New Roman" w:cs="Times New Roman"/>
          <w:sz w:val="20"/>
          <w:szCs w:val="20"/>
        </w:rPr>
        <w:t xml:space="preserve"> с использованием двух различных моделей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-слоя. Результат показывает хорошее согласие</w:t>
      </w:r>
      <w:r w:rsidRPr="00B60BC1">
        <w:rPr>
          <w:rFonts w:ascii="Times New Roman" w:hAnsi="Times New Roman" w:cs="Times New Roman"/>
          <w:sz w:val="20"/>
          <w:szCs w:val="20"/>
        </w:rPr>
        <w:t xml:space="preserve"> с экспериментом. Также, </w:t>
      </w:r>
      <w:r>
        <w:rPr>
          <w:rFonts w:ascii="Times New Roman" w:hAnsi="Times New Roman" w:cs="Times New Roman"/>
          <w:sz w:val="20"/>
          <w:szCs w:val="20"/>
        </w:rPr>
        <w:t>с помощью</w:t>
      </w:r>
      <w:r w:rsidRPr="00B60BC1">
        <w:rPr>
          <w:rFonts w:ascii="Times New Roman" w:hAnsi="Times New Roman" w:cs="Times New Roman"/>
          <w:sz w:val="20"/>
          <w:szCs w:val="20"/>
        </w:rPr>
        <w:t xml:space="preserve"> одной из моделей </w:t>
      </w:r>
      <w:r>
        <w:rPr>
          <w:rFonts w:ascii="Times New Roman" w:hAnsi="Times New Roman" w:cs="Times New Roman"/>
          <w:sz w:val="20"/>
          <w:szCs w:val="20"/>
        </w:rPr>
        <w:t>получены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параметры резонанса при солнечных вспышках разл</w:t>
      </w:r>
      <w:r>
        <w:rPr>
          <w:rFonts w:ascii="Times New Roman" w:hAnsi="Times New Roman" w:cs="Times New Roman"/>
          <w:sz w:val="20"/>
          <w:szCs w:val="20"/>
        </w:rPr>
        <w:t>ичных классов. На основе этих данных</w:t>
      </w:r>
      <w:r w:rsidRPr="00B60BC1">
        <w:rPr>
          <w:rFonts w:ascii="Times New Roman" w:hAnsi="Times New Roman" w:cs="Times New Roman"/>
          <w:sz w:val="20"/>
          <w:szCs w:val="20"/>
        </w:rPr>
        <w:t xml:space="preserve"> выявлена зависимость собственных частот от интенсивности солнечной вспышки.</w:t>
      </w:r>
    </w:p>
    <w:p w:rsidR="001B03C3" w:rsidRPr="003B66D9" w:rsidRDefault="001B03C3" w:rsidP="00B60BC1">
      <w:pPr>
        <w:tabs>
          <w:tab w:val="left" w:pos="8222"/>
        </w:tabs>
        <w:spacing w:line="240" w:lineRule="auto"/>
        <w:ind w:left="567" w:right="1133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60BC1">
        <w:rPr>
          <w:rFonts w:ascii="Times New Roman" w:hAnsi="Times New Roman" w:cs="Times New Roman"/>
          <w:sz w:val="20"/>
          <w:szCs w:val="20"/>
          <w:lang w:val="en-US"/>
        </w:rPr>
        <w:t>This paper presents a procedure to carry out three-dimensional (3D) finite element model full wave simulations of the electromagnetic field in spherical shell between the Earth’s surface and top boundary of D-layer of the ionosphere. Numerical simulations have been performed in the frequency domain. For non-perturbed ionosphere, calculations have been carried out using two model</w:t>
      </w:r>
      <w:r>
        <w:rPr>
          <w:rFonts w:ascii="Times New Roman" w:hAnsi="Times New Roman" w:cs="Times New Roman"/>
          <w:sz w:val="20"/>
          <w:szCs w:val="20"/>
          <w:lang w:val="en-US"/>
        </w:rPr>
        <w:t>s of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 xml:space="preserve"> D-layer of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 xml:space="preserve">ionosphere. The obtained results are in agreement with experimental data. Also using one </w:t>
      </w:r>
      <w:r>
        <w:rPr>
          <w:rFonts w:ascii="Times New Roman" w:hAnsi="Times New Roman" w:cs="Times New Roman"/>
          <w:sz w:val="20"/>
          <w:szCs w:val="20"/>
          <w:lang w:val="en-US"/>
        </w:rPr>
        <w:t>these models, parameters of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 xml:space="preserve"> Schumann resonance during solar flares of different classes have been received. Based on calcula</w:t>
      </w:r>
      <w:r>
        <w:rPr>
          <w:rFonts w:ascii="Times New Roman" w:hAnsi="Times New Roman" w:cs="Times New Roman"/>
          <w:sz w:val="20"/>
          <w:szCs w:val="20"/>
          <w:lang w:val="en-US"/>
        </w:rPr>
        <w:t>tions, dependence between eigen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frequencies and level of solar flare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 xml:space="preserve"> has been revealed.</w:t>
      </w:r>
    </w:p>
    <w:p w:rsidR="001B03C3" w:rsidRPr="003B66D9" w:rsidRDefault="001B03C3" w:rsidP="00B60BC1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B03C3" w:rsidRPr="00B60BC1" w:rsidRDefault="001B03C3" w:rsidP="00B60BC1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ВВЕДЕНИЕ</w:t>
      </w:r>
    </w:p>
    <w:p w:rsidR="001B03C3" w:rsidRDefault="001B03C3" w:rsidP="00B60BC1">
      <w:pPr>
        <w:tabs>
          <w:tab w:val="left" w:pos="609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В области сверхнизких частот (5-40 Гц) распространение электромагнитных волн происходит специфическим образом. Благодаря тому, что длина волны соизмерима с радиусом  Земли, в СНЧ диапазоне могут наблюдаться глобальные резонансы, когда частота колебаний совпадает с с</w:t>
      </w:r>
      <w:r>
        <w:rPr>
          <w:rFonts w:ascii="Times New Roman" w:hAnsi="Times New Roman" w:cs="Times New Roman"/>
          <w:sz w:val="20"/>
          <w:szCs w:val="20"/>
        </w:rPr>
        <w:t>обственной частотой резонатора,</w:t>
      </w:r>
      <w:r w:rsidRPr="00B60BC1">
        <w:rPr>
          <w:rFonts w:ascii="Times New Roman" w:hAnsi="Times New Roman" w:cs="Times New Roman"/>
          <w:sz w:val="20"/>
          <w:szCs w:val="20"/>
        </w:rPr>
        <w:t xml:space="preserve"> образованного сферической полостью между Землей и ионосферой. Так называемые, Шумановские колебания образуют систему стоячих волн,</w:t>
      </w:r>
      <w:r>
        <w:rPr>
          <w:rFonts w:ascii="Times New Roman" w:hAnsi="Times New Roman" w:cs="Times New Roman"/>
          <w:sz w:val="20"/>
          <w:szCs w:val="20"/>
        </w:rPr>
        <w:t xml:space="preserve"> охватывающих</w:t>
      </w:r>
      <w:r w:rsidRPr="00B60BC1">
        <w:rPr>
          <w:rFonts w:ascii="Times New Roman" w:hAnsi="Times New Roman" w:cs="Times New Roman"/>
          <w:sz w:val="20"/>
          <w:szCs w:val="20"/>
        </w:rPr>
        <w:t xml:space="preserve"> весь земной шар, поэтому характеристики СНЧ колебаний, наблюдаемые в любом пункте, зависят от состояния ионосферы над всеми другими частями земного шара. Следовательно, изучение резонансных колебаний позволило бы определять глобальные параметры ионосферы, характеризующие ее состояние в целом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03C3" w:rsidRDefault="001B03C3" w:rsidP="00B60BC1">
      <w:pPr>
        <w:tabs>
          <w:tab w:val="left" w:pos="609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B03C3" w:rsidRPr="00B60BC1" w:rsidRDefault="001B03C3" w:rsidP="00B60BC1">
      <w:pPr>
        <w:tabs>
          <w:tab w:val="left" w:pos="609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ПОСТАНОВКА ЗАДАЧИ</w:t>
      </w:r>
    </w:p>
    <w:p w:rsidR="001B03C3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Исследуемый ре</w:t>
      </w:r>
      <w:r w:rsidRPr="00B60BC1">
        <w:rPr>
          <w:rFonts w:ascii="Times New Roman" w:hAnsi="Times New Roman" w:cs="Times New Roman"/>
          <w:sz w:val="20"/>
          <w:szCs w:val="20"/>
        </w:rPr>
        <w:t xml:space="preserve">зонатор представляет собой полость между двумя концентрическими сферами радиусами 6370 км (Земля) и 6470 км (верхняя граница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60BC1">
        <w:rPr>
          <w:rFonts w:ascii="Times New Roman" w:hAnsi="Times New Roman" w:cs="Times New Roman"/>
          <w:sz w:val="20"/>
          <w:szCs w:val="20"/>
        </w:rPr>
        <w:t xml:space="preserve">-слоя ионосферы). Таким образом, толщина резонатора составляет 100 км. Поиск собственных частот резонатора реализуется в пакете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COMSOL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Multiphysics</w:t>
      </w:r>
      <w:r w:rsidRPr="00B60BC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B60BC1">
        <w:rPr>
          <w:rFonts w:ascii="Times New Roman" w:hAnsi="Times New Roman" w:cs="Times New Roman"/>
          <w:sz w:val="20"/>
          <w:szCs w:val="20"/>
        </w:rPr>
        <w:t xml:space="preserve"> за счет решения методом конечных элементов волнового уравнения (1), полученного из системы уравнений Максвелла. В результате расчета получаются комплексные значения частот (2). 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При построении моделей для изучения Шумановского резонанса критерием корректности </w:t>
      </w:r>
      <w:r>
        <w:rPr>
          <w:rFonts w:ascii="Times New Roman" w:hAnsi="Times New Roman" w:cs="Times New Roman"/>
          <w:sz w:val="20"/>
          <w:szCs w:val="20"/>
        </w:rPr>
        <w:t xml:space="preserve">обычно </w:t>
      </w:r>
      <w:r w:rsidRPr="00B60BC1">
        <w:rPr>
          <w:rFonts w:ascii="Times New Roman" w:hAnsi="Times New Roman" w:cs="Times New Roman"/>
          <w:sz w:val="20"/>
          <w:szCs w:val="20"/>
        </w:rPr>
        <w:t xml:space="preserve">является совпадение набора рассчитанных собственных частот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>
            <v:imagedata r:id="rId8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26" type="#_x0000_t75" style="width:11.25pt;height:11.25pt">
            <v:imagedata r:id="rId8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, а так</w:t>
      </w:r>
      <w:r w:rsidRPr="00B60BC1">
        <w:rPr>
          <w:rFonts w:ascii="Times New Roman" w:hAnsi="Times New Roman" w:cs="Times New Roman"/>
          <w:sz w:val="20"/>
          <w:szCs w:val="20"/>
        </w:rPr>
        <w:t xml:space="preserve">же их добротностей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27" type="#_x0000_t75" style="width:14.25pt;height:11.25pt">
            <v:imagedata r:id="rId9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28" type="#_x0000_t75" style="width:14.25pt;height:11.25pt">
            <v:imagedata r:id="rId9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(3) с экспериментальными значениями. </w:t>
      </w:r>
    </w:p>
    <w:p w:rsidR="001B03C3" w:rsidRPr="00B60BC1" w:rsidRDefault="001B03C3" w:rsidP="00B60BC1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29" type="#_x0000_t75" style="width:174pt;height:27.75pt">
            <v:imagedata r:id="rId10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30" type="#_x0000_t75" style="width:174pt;height:27.75pt">
            <v:imagedata r:id="rId10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(1)</w:t>
      </w:r>
    </w:p>
    <w:p w:rsidR="001B03C3" w:rsidRPr="00B60BC1" w:rsidRDefault="001B03C3" w:rsidP="00B60BC1">
      <w:pPr>
        <w:tabs>
          <w:tab w:val="left" w:pos="7020"/>
        </w:tabs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31" type="#_x0000_t75" style="width:60.75pt;height:12.75pt">
            <v:imagedata r:id="rId11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32" type="#_x0000_t75" style="width:60.75pt;height:12.75pt">
            <v:imagedata r:id="rId11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(2)</w:t>
      </w:r>
    </w:p>
    <w:p w:rsidR="001B03C3" w:rsidRPr="00B60BC1" w:rsidRDefault="001B03C3" w:rsidP="00B60BC1">
      <w:pPr>
        <w:tabs>
          <w:tab w:val="left" w:pos="7020"/>
        </w:tabs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33" type="#_x0000_t75" style="width:40.5pt;height:22.5pt">
            <v:imagedata r:id="rId12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34" type="#_x0000_t75" style="width:40.5pt;height:22.5pt">
            <v:imagedata r:id="rId12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bookmarkStart w:id="0" w:name="_GoBack"/>
      <w:bookmarkEnd w:id="0"/>
      <w:r w:rsidRPr="00B60B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(3)</w:t>
      </w:r>
    </w:p>
    <w:p w:rsidR="001B03C3" w:rsidRPr="00B60BC1" w:rsidRDefault="001B03C3" w:rsidP="00B60BC1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В табл.1 представлены значения частот</w:t>
      </w:r>
      <w:r>
        <w:rPr>
          <w:rFonts w:ascii="Times New Roman" w:hAnsi="Times New Roman" w:cs="Times New Roman"/>
          <w:sz w:val="20"/>
          <w:szCs w:val="20"/>
        </w:rPr>
        <w:t>, рассчитанных</w:t>
      </w:r>
      <w:r w:rsidRPr="00B60BC1">
        <w:rPr>
          <w:rFonts w:ascii="Times New Roman" w:hAnsi="Times New Roman" w:cs="Times New Roman"/>
          <w:sz w:val="20"/>
          <w:szCs w:val="20"/>
        </w:rPr>
        <w:t xml:space="preserve"> для идеального, полого проводника. </w:t>
      </w:r>
      <w:r>
        <w:rPr>
          <w:rFonts w:ascii="Times New Roman" w:hAnsi="Times New Roman" w:cs="Times New Roman"/>
          <w:sz w:val="20"/>
          <w:szCs w:val="20"/>
        </w:rPr>
        <w:t xml:space="preserve">Полученные </w:t>
      </w:r>
      <w:r w:rsidRPr="00B60BC1">
        <w:rPr>
          <w:rFonts w:ascii="Times New Roman" w:hAnsi="Times New Roman" w:cs="Times New Roman"/>
          <w:sz w:val="20"/>
          <w:szCs w:val="20"/>
        </w:rPr>
        <w:t>частоты</w:t>
      </w:r>
      <w:r>
        <w:rPr>
          <w:rFonts w:ascii="Times New Roman" w:hAnsi="Times New Roman" w:cs="Times New Roman"/>
          <w:sz w:val="20"/>
          <w:szCs w:val="20"/>
        </w:rPr>
        <w:t>, а так</w:t>
      </w:r>
      <w:r w:rsidRPr="00B60BC1">
        <w:rPr>
          <w:rFonts w:ascii="Times New Roman" w:hAnsi="Times New Roman" w:cs="Times New Roman"/>
          <w:sz w:val="20"/>
          <w:szCs w:val="20"/>
        </w:rPr>
        <w:t>же кратность их вырождения (2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60BC1">
        <w:rPr>
          <w:rFonts w:ascii="Times New Roman" w:hAnsi="Times New Roman" w:cs="Times New Roman"/>
          <w:sz w:val="20"/>
          <w:szCs w:val="20"/>
        </w:rPr>
        <w:t xml:space="preserve">+1, где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B60BC1">
        <w:rPr>
          <w:rFonts w:ascii="Times New Roman" w:hAnsi="Times New Roman" w:cs="Times New Roman"/>
          <w:sz w:val="20"/>
          <w:szCs w:val="20"/>
        </w:rPr>
        <w:t xml:space="preserve"> – номер частоты) совпада</w:t>
      </w:r>
      <w:r>
        <w:rPr>
          <w:rFonts w:ascii="Times New Roman" w:hAnsi="Times New Roman" w:cs="Times New Roman"/>
          <w:sz w:val="20"/>
          <w:szCs w:val="20"/>
        </w:rPr>
        <w:t>ют с теоретическими значениями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 идеального сферического проводника</w:t>
      </w:r>
      <w:r w:rsidRPr="00B60BC1">
        <w:rPr>
          <w:rFonts w:ascii="Times New Roman" w:hAnsi="Times New Roman" w:cs="Times New Roman"/>
          <w:sz w:val="20"/>
          <w:szCs w:val="20"/>
        </w:rPr>
        <w:t>(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Schumann</w:t>
      </w:r>
      <w:r w:rsidRPr="00B60BC1">
        <w:rPr>
          <w:rFonts w:ascii="Times New Roman" w:hAnsi="Times New Roman" w:cs="Times New Roman"/>
          <w:sz w:val="20"/>
          <w:szCs w:val="20"/>
        </w:rPr>
        <w:t>, 1952)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3C3" w:rsidRPr="00B60BC1" w:rsidRDefault="001B03C3" w:rsidP="00B60BC1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35" type="#_x0000_t75" style="width:84.75pt;height:15pt">
            <v:imagedata r:id="rId13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36" type="#_x0000_t75" style="width:84.75pt;height:15pt">
            <v:imagedata r:id="rId13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(4)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Значения реальных частот</w:t>
      </w:r>
      <w:r w:rsidRPr="00B60BC1">
        <w:rPr>
          <w:rFonts w:ascii="Times New Roman" w:hAnsi="Times New Roman" w:cs="Times New Roman"/>
          <w:sz w:val="20"/>
          <w:szCs w:val="20"/>
        </w:rPr>
        <w:t xml:space="preserve"> резонатора Земля-ионосфера отличаются от </w:t>
      </w:r>
      <w:r>
        <w:rPr>
          <w:rFonts w:ascii="Times New Roman" w:hAnsi="Times New Roman" w:cs="Times New Roman"/>
          <w:sz w:val="20"/>
          <w:szCs w:val="20"/>
        </w:rPr>
        <w:t xml:space="preserve">их </w:t>
      </w:r>
      <w:r w:rsidRPr="00B60BC1">
        <w:rPr>
          <w:rFonts w:ascii="Times New Roman" w:hAnsi="Times New Roman" w:cs="Times New Roman"/>
          <w:sz w:val="20"/>
          <w:szCs w:val="20"/>
        </w:rPr>
        <w:t>теоретических значений. Это связано с тем фактом, что поверхность Земли и  граница ионосферы не я</w:t>
      </w:r>
      <w:r>
        <w:rPr>
          <w:rFonts w:ascii="Times New Roman" w:hAnsi="Times New Roman" w:cs="Times New Roman"/>
          <w:sz w:val="20"/>
          <w:szCs w:val="20"/>
        </w:rPr>
        <w:t>вляются идеальными проводниками. К</w:t>
      </w:r>
      <w:r w:rsidRPr="00B60BC1">
        <w:rPr>
          <w:rFonts w:ascii="Times New Roman" w:hAnsi="Times New Roman" w:cs="Times New Roman"/>
          <w:sz w:val="20"/>
          <w:szCs w:val="20"/>
        </w:rPr>
        <w:t xml:space="preserve">роме того, ионосфера представляет собой  многокомпонентную магнитоактивную плазму, неоднородную как в вертикальном, так и в поперечном направлении. 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Электронная проводимость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60BC1">
        <w:rPr>
          <w:rFonts w:ascii="Times New Roman" w:hAnsi="Times New Roman" w:cs="Times New Roman"/>
          <w:sz w:val="20"/>
          <w:szCs w:val="20"/>
        </w:rPr>
        <w:t xml:space="preserve">-слоя </w:t>
      </w:r>
      <w:r>
        <w:rPr>
          <w:rFonts w:ascii="Times New Roman" w:hAnsi="Times New Roman" w:cs="Times New Roman"/>
          <w:sz w:val="20"/>
          <w:szCs w:val="20"/>
        </w:rPr>
        <w:t xml:space="preserve">ионосферы </w:t>
      </w:r>
      <w:r w:rsidRPr="00B60BC1">
        <w:rPr>
          <w:rFonts w:ascii="Times New Roman" w:hAnsi="Times New Roman" w:cs="Times New Roman"/>
          <w:sz w:val="20"/>
          <w:szCs w:val="20"/>
        </w:rPr>
        <w:t>рассчитывалась в приближении низких частот:</w:t>
      </w:r>
    </w:p>
    <w:p w:rsidR="001B03C3" w:rsidRPr="00B60BC1" w:rsidRDefault="001B03C3" w:rsidP="00B60BC1">
      <w:pPr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37" type="#_x0000_t75" style="width:153.75pt;height:33pt">
            <v:imagedata r:id="rId14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38" type="#_x0000_t75" style="width:153.75pt;height:33pt">
            <v:imagedata r:id="rId14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(5)</w:t>
      </w:r>
    </w:p>
    <w:p w:rsidR="001B03C3" w:rsidRPr="00B60BC1" w:rsidRDefault="001B03C3" w:rsidP="00B60BC1">
      <w:pPr>
        <w:spacing w:line="240" w:lineRule="auto"/>
        <w:ind w:left="-567" w:right="283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где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39" type="#_x0000_t75" style="width:29.25pt;height:11.25pt">
            <v:imagedata r:id="rId15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40" type="#_x0000_t75" style="width:29.25pt;height:11.25pt">
            <v:imagedata r:id="rId15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</w:rPr>
        <w:t xml:space="preserve">– высота над поверхностью Земли,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41" type="#_x0000_t75" style="width:15pt;height:11.25pt">
            <v:imagedata r:id="rId16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42" type="#_x0000_t75" style="width:15pt;height:11.25pt">
            <v:imagedata r:id="rId16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- заряд электрона,  – эффективная частота соударений,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43" type="#_x0000_t75" style="width:12.75pt;height:11.25pt">
            <v:imagedata r:id="rId1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44" type="#_x0000_t75" style="width:12.75pt;height:11.25pt">
            <v:imagedata r:id="rId1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- электронная концентрация. Распределение электронной концентрации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45" type="#_x0000_t75" style="width:12.75pt;height:11.25pt">
            <v:imagedata r:id="rId1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46" type="#_x0000_t75" style="width:12.75pt;height:11.25pt">
            <v:imagedata r:id="rId1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и эффективных частот соударений в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60BC1">
        <w:rPr>
          <w:rFonts w:ascii="Times New Roman" w:hAnsi="Times New Roman" w:cs="Times New Roman"/>
          <w:sz w:val="20"/>
          <w:szCs w:val="20"/>
        </w:rPr>
        <w:t>-слое ионосферы для сравнения получены по двум моделям:</w:t>
      </w:r>
    </w:p>
    <w:p w:rsidR="001B03C3" w:rsidRPr="00B60BC1" w:rsidRDefault="001B03C3" w:rsidP="00B60BC1">
      <w:pPr>
        <w:pStyle w:val="ListParagraph"/>
        <w:numPr>
          <w:ilvl w:val="0"/>
          <w:numId w:val="1"/>
        </w:num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Общепринятое двупараметрическое экспоненциальное приближение (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Wait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Spies</w:t>
      </w:r>
      <w:r w:rsidRPr="00B60BC1">
        <w:rPr>
          <w:rFonts w:ascii="Times New Roman" w:hAnsi="Times New Roman" w:cs="Times New Roman"/>
          <w:sz w:val="20"/>
          <w:szCs w:val="20"/>
        </w:rPr>
        <w:t>, 1964):</w:t>
      </w:r>
    </w:p>
    <w:p w:rsidR="001B03C3" w:rsidRPr="00B60BC1" w:rsidRDefault="001B03C3" w:rsidP="00B60BC1">
      <w:pPr>
        <w:pStyle w:val="ListParagraph"/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(6)</w:t>
      </w:r>
    </w:p>
    <w:p w:rsidR="001B03C3" w:rsidRPr="00B60BC1" w:rsidRDefault="001B03C3" w:rsidP="00B60BC1">
      <w:pPr>
        <w:pStyle w:val="ListParagraph"/>
        <w:spacing w:line="240" w:lineRule="auto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47" type="#_x0000_t75" style="width:153pt;height:13.5pt">
            <v:imagedata r:id="rId18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48" type="#_x0000_t75" style="width:153pt;height:13.5pt">
            <v:imagedata r:id="rId18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(7)</w:t>
      </w:r>
    </w:p>
    <w:p w:rsidR="001B03C3" w:rsidRPr="00B60BC1" w:rsidRDefault="001B03C3" w:rsidP="00B60BC1">
      <w:pPr>
        <w:spacing w:line="240" w:lineRule="auto"/>
        <w:ind w:left="-567" w:right="283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Параметры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49" type="#_x0000_t75" style="width:13.5pt;height:12.75pt">
            <v:imagedata r:id="rId19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50" type="#_x0000_t75" style="width:13.5pt;height:12.75pt">
            <v:imagedata r:id="rId19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и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51" type="#_x0000_t75" style="width:11.25pt;height:13.5pt">
            <v:imagedata r:id="rId20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52" type="#_x0000_t75" style="width:11.25pt;height:13.5pt">
            <v:imagedata r:id="rId20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рассчитываются по эмпирической модели (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Ferguson</w:t>
      </w:r>
      <w:r w:rsidRPr="00B60BC1">
        <w:rPr>
          <w:rFonts w:ascii="Times New Roman" w:hAnsi="Times New Roman" w:cs="Times New Roman"/>
          <w:sz w:val="20"/>
          <w:szCs w:val="20"/>
        </w:rPr>
        <w:t>, 1980):</w:t>
      </w:r>
    </w:p>
    <w:p w:rsidR="001B03C3" w:rsidRPr="00B60BC1" w:rsidRDefault="001B03C3" w:rsidP="00B60BC1">
      <w:pPr>
        <w:pStyle w:val="ListParagraph"/>
        <w:spacing w:line="240" w:lineRule="auto"/>
        <w:ind w:left="-567" w:right="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53" type="#_x0000_t75" style="width:351.75pt;height:12.75pt">
            <v:imagedata r:id="rId21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54" type="#_x0000_t75" style="width:351.75pt;height:12.75pt">
            <v:imagedata r:id="rId21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(8)</w:t>
      </w:r>
    </w:p>
    <w:p w:rsidR="001B03C3" w:rsidRPr="00B60BC1" w:rsidRDefault="001B03C3" w:rsidP="00B60BC1">
      <w:pPr>
        <w:pStyle w:val="ListParagraph"/>
        <w:spacing w:line="240" w:lineRule="auto"/>
        <w:ind w:left="-567" w:right="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55" type="#_x0000_t75" style="width:241.5pt;height:11.25pt">
            <v:imagedata r:id="rId22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56" type="#_x0000_t75" style="width:241.5pt;height:11.25pt">
            <v:imagedata r:id="rId22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</w:r>
      <w:r w:rsidRPr="00B60BC1">
        <w:rPr>
          <w:rFonts w:ascii="Times New Roman" w:hAnsi="Times New Roman" w:cs="Times New Roman"/>
          <w:sz w:val="20"/>
          <w:szCs w:val="20"/>
        </w:rPr>
        <w:tab/>
        <w:t>(9)</w:t>
      </w:r>
    </w:p>
    <w:p w:rsidR="001B03C3" w:rsidRPr="00B60BC1" w:rsidRDefault="001B03C3" w:rsidP="00B60BC1">
      <w:pPr>
        <w:spacing w:line="240" w:lineRule="auto"/>
        <w:ind w:left="-567" w:right="283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где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57" type="#_x0000_t75" style="width:11.25pt;height:13.5pt">
            <v:imagedata r:id="rId23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58" type="#_x0000_t75" style="width:11.25pt;height:13.5pt">
            <v:imagedata r:id="rId23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– солнечный зенитный угол,</w:t>
      </w:r>
      <w:r w:rsidRPr="00844BDB">
        <w:rPr>
          <w:rFonts w:ascii="Times New Roman" w:hAnsi="Times New Roman" w:cs="Times New Roman"/>
          <w:sz w:val="20"/>
          <w:szCs w:val="20"/>
        </w:rPr>
        <w:t xml:space="preserve">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59" type="#_x0000_t75" style="width:10.5pt;height:13.5pt">
            <v:imagedata r:id="rId24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60" type="#_x0000_t75" style="width:10.5pt;height:13.5pt">
            <v:imagedata r:id="rId24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– географическая широта,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61" type="#_x0000_t75" style="width:70.5pt;height:23.25pt">
            <v:imagedata r:id="rId25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62" type="#_x0000_t75" style="width:70.5pt;height:23.25pt">
            <v:imagedata r:id="rId25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– учет сезонных вариаций (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B60BC1">
        <w:rPr>
          <w:rFonts w:ascii="Times New Roman" w:hAnsi="Times New Roman" w:cs="Times New Roman"/>
          <w:sz w:val="20"/>
          <w:szCs w:val="20"/>
        </w:rPr>
        <w:t xml:space="preserve"> – номер месяца),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63" type="#_x0000_t75" style="width:12pt;height:11.25pt">
            <v:imagedata r:id="rId26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64" type="#_x0000_t75" style="width:12pt;height:11.25pt">
            <v:imagedata r:id="rId26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– количество солнечных пятен, </w:t>
      </w:r>
      <w:r w:rsidRPr="00F24E02">
        <w:rPr>
          <w:rFonts w:ascii="Times New Roman" w:hAnsi="Times New Roman" w:cs="Times New Roman"/>
          <w:sz w:val="20"/>
          <w:szCs w:val="20"/>
        </w:rPr>
        <w:fldChar w:fldCharType="begin"/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QUOTE </w:instrText>
      </w:r>
      <w:r w:rsidRPr="00F24E02">
        <w:pict>
          <v:shape id="_x0000_i1065" type="#_x0000_t75" style="width:12.75pt;height:11.25pt">
            <v:imagedata r:id="rId2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F24E02">
        <w:rPr>
          <w:rFonts w:ascii="Times New Roman" w:hAnsi="Times New Roman" w:cs="Times New Roman"/>
          <w:sz w:val="20"/>
          <w:szCs w:val="20"/>
        </w:rPr>
        <w:fldChar w:fldCharType="separate"/>
      </w:r>
      <w:r w:rsidRPr="00F24E02">
        <w:pict>
          <v:shape id="_x0000_i1066" type="#_x0000_t75" style="width:12.75pt;height:11.25pt">
            <v:imagedata r:id="rId27" o:title="" chromakey="white"/>
          </v:shape>
        </w:pict>
      </w:r>
      <w:r w:rsidRPr="00F24E02">
        <w:rPr>
          <w:rFonts w:ascii="Times New Roman" w:hAnsi="Times New Roman" w:cs="Times New Roman"/>
          <w:sz w:val="20"/>
          <w:szCs w:val="20"/>
        </w:rPr>
        <w:fldChar w:fldCharType="end"/>
      </w:r>
      <w:r w:rsidRPr="00B60BC1">
        <w:rPr>
          <w:rFonts w:ascii="Times New Roman" w:hAnsi="Times New Roman" w:cs="Times New Roman"/>
          <w:sz w:val="20"/>
          <w:szCs w:val="20"/>
        </w:rPr>
        <w:t xml:space="preserve"> – магнитная активность.</w:t>
      </w:r>
    </w:p>
    <w:p w:rsidR="001B03C3" w:rsidRPr="00B60BC1" w:rsidRDefault="001B03C3" w:rsidP="00B60BC1">
      <w:pPr>
        <w:pStyle w:val="ListParagraph"/>
        <w:numPr>
          <w:ilvl w:val="0"/>
          <w:numId w:val="1"/>
        </w:num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плазмохимическая 22-компонентная модель нижних слоев ионосферы, разработанная в ИДГ РАН</w:t>
      </w:r>
    </w:p>
    <w:p w:rsidR="001B03C3" w:rsidRPr="00B60BC1" w:rsidRDefault="001B03C3" w:rsidP="00B60BC1">
      <w:pPr>
        <w:pStyle w:val="ListParagraph"/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На рис.1 приводится сравнение дневных и ночных профилей электронной концентрации.</w:t>
      </w:r>
      <w:r w:rsidRPr="00B60BC1">
        <w:rPr>
          <w:rFonts w:ascii="Times New Roman" w:hAnsi="Times New Roman" w:cs="Times New Roman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</w:rPr>
        <w:t>Наблюдается абсолютное количественное и каче</w:t>
      </w:r>
      <w:r>
        <w:rPr>
          <w:rFonts w:ascii="Times New Roman" w:hAnsi="Times New Roman" w:cs="Times New Roman"/>
          <w:sz w:val="20"/>
          <w:szCs w:val="20"/>
        </w:rPr>
        <w:t>ственное расхождение профилей ночной стороны</w:t>
      </w:r>
      <w:r w:rsidRPr="00B60BC1">
        <w:rPr>
          <w:rFonts w:ascii="Times New Roman" w:hAnsi="Times New Roman" w:cs="Times New Roman"/>
          <w:sz w:val="20"/>
          <w:szCs w:val="20"/>
        </w:rPr>
        <w:t xml:space="preserve"> Земли. Профили дневной стороны совпадают только на высотах 70-100 км.</w:t>
      </w:r>
    </w:p>
    <w:p w:rsidR="001B03C3" w:rsidRPr="00B60BC1" w:rsidRDefault="001B03C3" w:rsidP="00B60BC1">
      <w:pPr>
        <w:spacing w:line="240" w:lineRule="auto"/>
        <w:ind w:right="283"/>
        <w:rPr>
          <w:rFonts w:ascii="Times New Roman" w:hAnsi="Times New Roman" w:cs="Times New Roman"/>
          <w:sz w:val="20"/>
          <w:szCs w:val="20"/>
        </w:rPr>
      </w:pPr>
      <w:r w:rsidRPr="00F24E02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Рисунок 2" o:spid="_x0000_i1067" type="#_x0000_t75" style="width:453.75pt;height:211.5pt;visibility:visible">
            <v:imagedata r:id="rId28" o:title="" cropbottom="-140f"/>
            <o:lock v:ext="edit" aspectratio="f"/>
          </v:shape>
        </w:pict>
      </w:r>
    </w:p>
    <w:p w:rsidR="001B03C3" w:rsidRDefault="001B03C3" w:rsidP="00526D12">
      <w:pPr>
        <w:spacing w:line="240" w:lineRule="auto"/>
        <w:ind w:left="-567" w:right="284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Рис.1.</w:t>
      </w:r>
      <w:r w:rsidRPr="00526D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Сравнение профилей электронных концентраций по двум моделям: для дневной стороны Земли (слева), для ночной стороны Земли (справа).</w:t>
      </w:r>
    </w:p>
    <w:p w:rsidR="001B03C3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РЕЗУЛЬТАТЫ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Расчеты про</w:t>
      </w:r>
      <w:r w:rsidRPr="00B60BC1">
        <w:rPr>
          <w:rFonts w:ascii="Times New Roman" w:hAnsi="Times New Roman" w:cs="Times New Roman"/>
          <w:sz w:val="20"/>
          <w:szCs w:val="20"/>
        </w:rPr>
        <w:t xml:space="preserve">водились в пакете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COMSOL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Multiphysics</w:t>
      </w:r>
      <w:r w:rsidRPr="00B60BC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при помощи решателя MUMPS, на 28 ядерном компьютере с объемом ОЗУ 256 Гб. </w:t>
      </w:r>
      <w:r>
        <w:rPr>
          <w:rFonts w:ascii="Times New Roman" w:hAnsi="Times New Roman" w:cs="Times New Roman"/>
          <w:sz w:val="20"/>
          <w:szCs w:val="20"/>
        </w:rPr>
        <w:t>Получены параметры</w:t>
      </w:r>
      <w:r w:rsidRPr="00B60BC1">
        <w:rPr>
          <w:rFonts w:ascii="Times New Roman" w:hAnsi="Times New Roman" w:cs="Times New Roman"/>
          <w:sz w:val="20"/>
          <w:szCs w:val="20"/>
        </w:rPr>
        <w:t xml:space="preserve"> Шумановского резонанса </w:t>
      </w:r>
      <w:r>
        <w:rPr>
          <w:rFonts w:ascii="Times New Roman" w:hAnsi="Times New Roman" w:cs="Times New Roman"/>
          <w:sz w:val="20"/>
          <w:szCs w:val="20"/>
        </w:rPr>
        <w:t>по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двум моделям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при</w:t>
      </w:r>
      <w:r>
        <w:rPr>
          <w:rFonts w:ascii="Times New Roman" w:hAnsi="Times New Roman" w:cs="Times New Roman"/>
          <w:sz w:val="20"/>
          <w:szCs w:val="20"/>
        </w:rPr>
        <w:t xml:space="preserve"> отсутствии ионосферных возмущений</w:t>
      </w:r>
      <w:r w:rsidRPr="00B60BC1">
        <w:rPr>
          <w:rFonts w:ascii="Times New Roman" w:hAnsi="Times New Roman" w:cs="Times New Roman"/>
          <w:sz w:val="20"/>
          <w:szCs w:val="20"/>
        </w:rPr>
        <w:t>. Как видно из табл. 1, плазмохимическая модель D-слоя дает собственные частоты и добротности, близкие к эксперименту, в то время как двупараметрическая модель позволяет получить лишь приблизительную оценку.</w:t>
      </w:r>
    </w:p>
    <w:p w:rsidR="001B03C3" w:rsidRPr="00B60BC1" w:rsidRDefault="001B03C3" w:rsidP="00B60BC1">
      <w:pPr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60BC1">
        <w:rPr>
          <w:rFonts w:ascii="Times New Roman" w:hAnsi="Times New Roman" w:cs="Times New Roman"/>
          <w:i/>
          <w:iCs/>
          <w:sz w:val="20"/>
          <w:szCs w:val="2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3797"/>
        <w:gridCol w:w="872"/>
        <w:gridCol w:w="872"/>
        <w:gridCol w:w="873"/>
        <w:gridCol w:w="872"/>
        <w:gridCol w:w="873"/>
      </w:tblGrid>
      <w:tr w:rsidR="001B03C3" w:rsidRPr="00F24E02">
        <w:trPr>
          <w:trHeight w:val="460"/>
          <w:jc w:val="center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собственной частоты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B03C3" w:rsidRPr="00F24E02">
        <w:trPr>
          <w:trHeight w:val="557"/>
          <w:jc w:val="center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Частоты полого резонатора с идеально проводящими стенками, Гц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</w:tr>
      <w:tr w:rsidR="001B03C3" w:rsidRPr="00F24E02">
        <w:trPr>
          <w:trHeight w:val="557"/>
          <w:jc w:val="center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Частоты, полученные по двупараметрической модели, Гц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1B03C3" w:rsidRPr="00F24E02">
        <w:trPr>
          <w:trHeight w:val="557"/>
          <w:jc w:val="center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Частоты, полученные по плазмохимической модели, Гц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B03C3" w:rsidRPr="00F24E02">
        <w:trPr>
          <w:trHeight w:val="557"/>
          <w:jc w:val="center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Экспериментальные значения частот (Блиох и др., 1977), Гц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</w:tr>
    </w:tbl>
    <w:p w:rsidR="001B03C3" w:rsidRPr="00B60BC1" w:rsidRDefault="001B03C3" w:rsidP="003B66D9">
      <w:pPr>
        <w:spacing w:after="0" w:line="120" w:lineRule="auto"/>
        <w:ind w:left="-567" w:right="284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878"/>
        <w:gridCol w:w="879"/>
        <w:gridCol w:w="879"/>
        <w:gridCol w:w="879"/>
        <w:gridCol w:w="879"/>
      </w:tblGrid>
      <w:tr w:rsidR="001B03C3" w:rsidRPr="00F24E02">
        <w:trPr>
          <w:trHeight w:val="580"/>
          <w:jc w:val="center"/>
        </w:trPr>
        <w:tc>
          <w:tcPr>
            <w:tcW w:w="3794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Добротности, полученные по двупараметрической модели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1B03C3" w:rsidRPr="00F24E02">
        <w:trPr>
          <w:trHeight w:val="580"/>
          <w:jc w:val="center"/>
        </w:trPr>
        <w:tc>
          <w:tcPr>
            <w:tcW w:w="3794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Добротности, полученные по плазмохимической модели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1B03C3" w:rsidRPr="00F24E02">
        <w:trPr>
          <w:trHeight w:val="580"/>
          <w:jc w:val="center"/>
        </w:trPr>
        <w:tc>
          <w:tcPr>
            <w:tcW w:w="3794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Экспериментальные значения добротностей (Блиох и др., 1977)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79" w:type="dxa"/>
            <w:tcBorders>
              <w:left w:val="nil"/>
              <w:righ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1B03C3" w:rsidRPr="00F24E02" w:rsidRDefault="001B03C3" w:rsidP="00F24E0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</w:tbl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</w:p>
    <w:p w:rsidR="001B03C3" w:rsidRDefault="001B03C3" w:rsidP="00C06376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С помощью плазмохимической модели </w:t>
      </w:r>
      <w:r>
        <w:rPr>
          <w:rFonts w:ascii="Times New Roman" w:hAnsi="Times New Roman" w:cs="Times New Roman"/>
          <w:sz w:val="20"/>
          <w:szCs w:val="20"/>
        </w:rPr>
        <w:t>получены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параметры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60BC1">
        <w:rPr>
          <w:rFonts w:ascii="Times New Roman" w:hAnsi="Times New Roman" w:cs="Times New Roman"/>
          <w:sz w:val="20"/>
          <w:szCs w:val="20"/>
        </w:rPr>
        <w:t>-слоя ионосферы при солнечных вспышках. Расчет параметров резонатора показал монотонный рост собственных частот резонатора</w:t>
      </w:r>
      <w:r>
        <w:rPr>
          <w:rFonts w:ascii="Times New Roman" w:hAnsi="Times New Roman" w:cs="Times New Roman"/>
          <w:sz w:val="20"/>
          <w:szCs w:val="20"/>
        </w:rPr>
        <w:t xml:space="preserve"> с увеличением интенсивности солнечной вспышки</w:t>
      </w:r>
      <w:r w:rsidRPr="00B60BC1">
        <w:rPr>
          <w:rFonts w:ascii="Times New Roman" w:hAnsi="Times New Roman" w:cs="Times New Roman"/>
          <w:sz w:val="20"/>
          <w:szCs w:val="20"/>
        </w:rPr>
        <w:t>. Однако даже при очень мощных сол</w:t>
      </w:r>
      <w:r>
        <w:rPr>
          <w:rFonts w:ascii="Times New Roman" w:hAnsi="Times New Roman" w:cs="Times New Roman"/>
          <w:sz w:val="20"/>
          <w:szCs w:val="20"/>
        </w:rPr>
        <w:t>нечных вспышках рост собственных частот составляет не более 5%, аналогичная тенденция наблюдается и для добротностей.</w:t>
      </w:r>
      <w:r w:rsidRPr="00B60BC1">
        <w:rPr>
          <w:rFonts w:ascii="Times New Roman" w:hAnsi="Times New Roman" w:cs="Times New Roman"/>
          <w:sz w:val="20"/>
          <w:szCs w:val="20"/>
        </w:rPr>
        <w:t xml:space="preserve"> На рис.3 представлена зависимость компонент первой частоты от интенсивности солнечного излучения.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</w:rPr>
        <w:t>В табл.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0BC1">
        <w:rPr>
          <w:rFonts w:ascii="Times New Roman" w:hAnsi="Times New Roman" w:cs="Times New Roman"/>
          <w:sz w:val="20"/>
          <w:szCs w:val="20"/>
        </w:rPr>
        <w:t xml:space="preserve"> приведено соответствие между интенсивностью </w:t>
      </w:r>
      <w:r>
        <w:rPr>
          <w:rFonts w:ascii="Times New Roman" w:hAnsi="Times New Roman" w:cs="Times New Roman"/>
          <w:sz w:val="20"/>
          <w:szCs w:val="20"/>
        </w:rPr>
        <w:t>солнечного рентгена</w:t>
      </w:r>
      <w:r w:rsidRPr="00B60BC1">
        <w:rPr>
          <w:rFonts w:ascii="Times New Roman" w:hAnsi="Times New Roman" w:cs="Times New Roman"/>
          <w:sz w:val="20"/>
          <w:szCs w:val="20"/>
        </w:rPr>
        <w:t xml:space="preserve"> и классом вспышки.</w:t>
      </w:r>
    </w:p>
    <w:p w:rsidR="001B03C3" w:rsidRDefault="001B03C3" w:rsidP="00C06376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24E02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Рисунок 8" o:spid="_x0000_i1068" type="#_x0000_t75" style="width:299.25pt;height:263.25pt;visibility:visible">
            <v:imagedata r:id="rId29" o:title="" cropbottom="-162f"/>
            <o:lock v:ext="edit" aspectratio="f"/>
          </v:shape>
        </w:pict>
      </w:r>
    </w:p>
    <w:p w:rsidR="001B03C3" w:rsidRPr="00C06376" w:rsidRDefault="001B03C3" w:rsidP="00C06376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06376">
        <w:rPr>
          <w:rFonts w:ascii="Times New Roman" w:hAnsi="Times New Roman" w:cs="Times New Roman"/>
          <w:i/>
          <w:iCs/>
          <w:sz w:val="20"/>
          <w:szCs w:val="20"/>
        </w:rPr>
        <w:t>Рис.2. Зависимость мод первой собственной частоты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(7,7 Гц)</w:t>
      </w:r>
      <w:r w:rsidRPr="00C06376">
        <w:rPr>
          <w:rFonts w:ascii="Times New Roman" w:hAnsi="Times New Roman" w:cs="Times New Roman"/>
          <w:i/>
          <w:iCs/>
          <w:sz w:val="20"/>
          <w:szCs w:val="20"/>
        </w:rPr>
        <w:t xml:space="preserve"> от интенсивности солнечной вспышки.</w:t>
      </w:r>
    </w:p>
    <w:p w:rsidR="001B03C3" w:rsidRPr="00B60BC1" w:rsidRDefault="001B03C3" w:rsidP="00C06376">
      <w:pPr>
        <w:spacing w:after="0" w:line="240" w:lineRule="auto"/>
        <w:ind w:left="-567" w:right="284"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60BC1"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tbl>
      <w:tblPr>
        <w:tblW w:w="873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A0"/>
      </w:tblPr>
      <w:tblGrid>
        <w:gridCol w:w="2325"/>
        <w:gridCol w:w="1068"/>
        <w:gridCol w:w="1068"/>
        <w:gridCol w:w="1068"/>
        <w:gridCol w:w="1068"/>
        <w:gridCol w:w="1068"/>
        <w:gridCol w:w="1068"/>
      </w:tblGrid>
      <w:tr w:rsidR="001B03C3" w:rsidRPr="00F24E02">
        <w:trPr>
          <w:trHeight w:val="392"/>
        </w:trPr>
        <w:tc>
          <w:tcPr>
            <w:tcW w:w="2325" w:type="dxa"/>
            <w:tcMar>
              <w:left w:w="98" w:type="dxa"/>
            </w:tcMar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>Класс вспышки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M1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M5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X1</w:t>
            </w:r>
          </w:p>
        </w:tc>
        <w:tc>
          <w:tcPr>
            <w:tcW w:w="1068" w:type="dxa"/>
            <w:tcMar>
              <w:left w:w="98" w:type="dxa"/>
            </w:tcMar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X5</w:t>
            </w:r>
          </w:p>
        </w:tc>
      </w:tr>
      <w:tr w:rsidR="001B03C3" w:rsidRPr="00F24E02">
        <w:trPr>
          <w:trHeight w:val="397"/>
        </w:trPr>
        <w:tc>
          <w:tcPr>
            <w:tcW w:w="2325" w:type="dxa"/>
            <w:tcMar>
              <w:left w:w="98" w:type="dxa"/>
            </w:tcMar>
            <w:vAlign w:val="center"/>
          </w:tcPr>
          <w:p w:rsidR="001B03C3" w:rsidRPr="009356B1" w:rsidRDefault="001B03C3" w:rsidP="00F2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Интенсивность, </w: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pict>
                <v:shape id="_x0000_i1069" type="#_x0000_t75" style="width:34.5pt;height:12pt">
                  <v:imagedata r:id="rId30" o:title="" chromakey="white"/>
                </v:shape>
              </w:pic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pict>
                <v:shape id="_x0000_i1070" type="#_x0000_t75" style="width:21.75pt;height:12pt">
                  <v:imagedata r:id="rId31" o:title="" chromakey="white"/>
                </v:shape>
              </w:pic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pict>
                <v:shape id="_x0000_i1071" type="#_x0000_t75" style="width:21.75pt;height:12pt">
                  <v:imagedata r:id="rId32" o:title="" chromakey="white"/>
                </v:shape>
              </w:pic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4E02">
              <w:pict>
                <v:shape id="_x0000_i1072" type="#_x0000_t75" style="width:34.5pt;height:12pt">
                  <v:imagedata r:id="rId33" o:title="" chromakey="white"/>
                </v:shape>
              </w:pict>
            </w:r>
          </w:p>
        </w:tc>
        <w:tc>
          <w:tcPr>
            <w:tcW w:w="1068" w:type="dxa"/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pict>
                <v:shape id="_x0000_i1073" type="#_x0000_t75" style="width:21.75pt;height:12pt">
                  <v:imagedata r:id="rId34" o:title="" chromakey="white"/>
                </v:shape>
              </w:pict>
            </w:r>
          </w:p>
        </w:tc>
        <w:tc>
          <w:tcPr>
            <w:tcW w:w="1068" w:type="dxa"/>
            <w:tcMar>
              <w:left w:w="98" w:type="dxa"/>
            </w:tcMar>
            <w:vAlign w:val="center"/>
          </w:tcPr>
          <w:p w:rsidR="001B03C3" w:rsidRPr="00F24E02" w:rsidRDefault="001B03C3" w:rsidP="00F2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02">
              <w:pict>
                <v:shape id="_x0000_i1074" type="#_x0000_t75" style="width:34.5pt;height:12pt">
                  <v:imagedata r:id="rId35" o:title="" chromakey="white"/>
                </v:shape>
              </w:pict>
            </w:r>
          </w:p>
        </w:tc>
      </w:tr>
    </w:tbl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>ВЫВОДЫ</w:t>
      </w:r>
    </w:p>
    <w:p w:rsidR="001B03C3" w:rsidRDefault="001B03C3" w:rsidP="00C0480A">
      <w:pPr>
        <w:tabs>
          <w:tab w:val="left" w:pos="609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60BC1">
        <w:rPr>
          <w:rFonts w:ascii="Times New Roman" w:hAnsi="Times New Roman" w:cs="Times New Roman"/>
          <w:sz w:val="20"/>
          <w:szCs w:val="20"/>
        </w:rPr>
        <w:t xml:space="preserve">По итогам данной работы, для изучения резонанса Шумана создан программный модуль в системе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COMSOL</w:t>
      </w:r>
      <w:r w:rsidRPr="00B60BC1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Multiphysics</w:t>
      </w:r>
      <w:r w:rsidRPr="00B60BC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B60BC1">
        <w:rPr>
          <w:rFonts w:ascii="Times New Roman" w:hAnsi="Times New Roman" w:cs="Times New Roman"/>
          <w:sz w:val="20"/>
          <w:szCs w:val="20"/>
        </w:rPr>
        <w:t xml:space="preserve"> для расчета собственных частот резонатора,  образованно</w:t>
      </w:r>
      <w:r>
        <w:rPr>
          <w:rFonts w:ascii="Times New Roman" w:hAnsi="Times New Roman" w:cs="Times New Roman"/>
          <w:sz w:val="20"/>
          <w:szCs w:val="20"/>
        </w:rPr>
        <w:t>го сферической полостью Земля-</w:t>
      </w:r>
      <w:r w:rsidRPr="00B60BC1">
        <w:rPr>
          <w:rFonts w:ascii="Times New Roman" w:hAnsi="Times New Roman" w:cs="Times New Roman"/>
          <w:sz w:val="20"/>
          <w:szCs w:val="20"/>
        </w:rPr>
        <w:t>ионосфера, в трехмерной постановке.</w:t>
      </w:r>
      <w:r>
        <w:rPr>
          <w:rFonts w:ascii="Times New Roman" w:hAnsi="Times New Roman" w:cs="Times New Roman"/>
          <w:sz w:val="20"/>
          <w:szCs w:val="20"/>
        </w:rPr>
        <w:t xml:space="preserve"> Проведены расчеты параметров резонансных частот для невозмущенной ионосферы, согласующиеся с экспериментом, а также расчеты при вспышках различных классов.</w:t>
      </w:r>
      <w:r w:rsidRPr="007D3C1F">
        <w:rPr>
          <w:rFonts w:ascii="Times New Roman" w:hAnsi="Times New Roman" w:cs="Times New Roman"/>
          <w:sz w:val="20"/>
          <w:szCs w:val="20"/>
        </w:rPr>
        <w:t xml:space="preserve"> </w:t>
      </w:r>
      <w:r w:rsidRPr="00B60BC1">
        <w:rPr>
          <w:rFonts w:ascii="Times New Roman" w:hAnsi="Times New Roman" w:cs="Times New Roman"/>
          <w:sz w:val="20"/>
          <w:szCs w:val="20"/>
        </w:rPr>
        <w:t xml:space="preserve">На основе </w:t>
      </w:r>
      <w:r>
        <w:rPr>
          <w:rFonts w:ascii="Times New Roman" w:hAnsi="Times New Roman" w:cs="Times New Roman"/>
          <w:sz w:val="20"/>
          <w:szCs w:val="20"/>
        </w:rPr>
        <w:t xml:space="preserve">полученных данных </w:t>
      </w:r>
      <w:r w:rsidRPr="00B60BC1">
        <w:rPr>
          <w:rFonts w:ascii="Times New Roman" w:hAnsi="Times New Roman" w:cs="Times New Roman"/>
          <w:sz w:val="20"/>
          <w:szCs w:val="20"/>
        </w:rPr>
        <w:t>выявлена зависимость собственных ч</w:t>
      </w:r>
      <w:r>
        <w:rPr>
          <w:rFonts w:ascii="Times New Roman" w:hAnsi="Times New Roman" w:cs="Times New Roman"/>
          <w:sz w:val="20"/>
          <w:szCs w:val="20"/>
        </w:rPr>
        <w:t>астот от интенсивности солнечных вспышек.</w:t>
      </w:r>
    </w:p>
    <w:p w:rsidR="001B03C3" w:rsidRPr="00B60BC1" w:rsidRDefault="001B03C3" w:rsidP="00B60BC1">
      <w:pPr>
        <w:spacing w:line="240" w:lineRule="auto"/>
        <w:ind w:left="-567" w:right="283" w:firstLine="567"/>
        <w:rPr>
          <w:rFonts w:ascii="Times New Roman" w:hAnsi="Times New Roman" w:cs="Times New Roman"/>
          <w:sz w:val="20"/>
          <w:szCs w:val="20"/>
        </w:rPr>
      </w:pPr>
    </w:p>
    <w:p w:rsidR="001B03C3" w:rsidRPr="00B60BC1" w:rsidRDefault="001B03C3" w:rsidP="00F765C6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ЛИТЕРАТУРА</w:t>
      </w:r>
    </w:p>
    <w:p w:rsidR="001B03C3" w:rsidRPr="00B60BC1" w:rsidRDefault="001B03C3" w:rsidP="00B60BC1">
      <w:pPr>
        <w:pStyle w:val="ListParagraph"/>
        <w:numPr>
          <w:ilvl w:val="0"/>
          <w:numId w:val="2"/>
        </w:numPr>
        <w:spacing w:line="240" w:lineRule="auto"/>
        <w:ind w:left="-284" w:righ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30556F">
        <w:rPr>
          <w:rFonts w:ascii="Times New Roman" w:hAnsi="Times New Roman" w:cs="Times New Roman"/>
          <w:sz w:val="20"/>
          <w:szCs w:val="20"/>
        </w:rPr>
        <w:t>Блиох П. В., Николаенко А. П., Филиппов Ю. Ф.: Глобальные</w:t>
      </w:r>
      <w:r w:rsidRPr="00B60BC1">
        <w:rPr>
          <w:rFonts w:ascii="Times New Roman" w:hAnsi="Times New Roman" w:cs="Times New Roman"/>
          <w:sz w:val="20"/>
          <w:szCs w:val="20"/>
        </w:rPr>
        <w:t xml:space="preserve"> электромагнитные резонансы в полости Земля-ионосфера, Наукова думка, Киев, 1977.</w:t>
      </w:r>
    </w:p>
    <w:p w:rsidR="001B03C3" w:rsidRPr="00B60BC1" w:rsidRDefault="001B03C3" w:rsidP="00B60BC1">
      <w:pPr>
        <w:pStyle w:val="ListParagraph"/>
        <w:numPr>
          <w:ilvl w:val="0"/>
          <w:numId w:val="2"/>
        </w:numPr>
        <w:spacing w:line="240" w:lineRule="auto"/>
        <w:ind w:left="-284" w:right="283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B703F">
        <w:rPr>
          <w:rFonts w:ascii="Times New Roman" w:hAnsi="Times New Roman" w:cs="Times New Roman"/>
          <w:sz w:val="20"/>
          <w:szCs w:val="20"/>
          <w:lang w:val="en-US"/>
        </w:rPr>
        <w:t>Ferguson J. A.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: Ionospheric profiles for predicting nighttime VLF/LF propagation, Naval Ocean System Centre Tech. Rep. NOSC/TR 530, NTIS Accession.ADA085399. Natl. Tech. Inf. Serv. Springfield, VA 22161, USA, 1980.</w:t>
      </w:r>
    </w:p>
    <w:p w:rsidR="001B03C3" w:rsidRPr="00D12D9B" w:rsidRDefault="001B03C3" w:rsidP="00B60BC1">
      <w:pPr>
        <w:pStyle w:val="ListParagraph"/>
        <w:numPr>
          <w:ilvl w:val="0"/>
          <w:numId w:val="2"/>
        </w:numPr>
        <w:spacing w:line="240" w:lineRule="auto"/>
        <w:ind w:left="-284" w:right="283" w:hanging="283"/>
        <w:rPr>
          <w:rFonts w:ascii="Times New Roman" w:hAnsi="Times New Roman" w:cs="Times New Roman"/>
          <w:sz w:val="20"/>
          <w:szCs w:val="20"/>
          <w:lang w:val="de-DE"/>
        </w:rPr>
      </w:pPr>
      <w:r w:rsidRPr="00B60BC1">
        <w:rPr>
          <w:rFonts w:ascii="Times New Roman" w:hAnsi="Times New Roman" w:cs="Times New Roman"/>
          <w:sz w:val="20"/>
          <w:szCs w:val="20"/>
          <w:lang w:val="de-DE"/>
        </w:rPr>
        <w:t>Schumann, W.O.</w:t>
      </w:r>
      <w:r w:rsidRPr="00D12D9B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r w:rsidRPr="00B60BC1">
        <w:rPr>
          <w:rFonts w:ascii="Times New Roman" w:hAnsi="Times New Roman" w:cs="Times New Roman"/>
          <w:sz w:val="20"/>
          <w:szCs w:val="20"/>
          <w:lang w:val="de-DE"/>
        </w:rPr>
        <w:t>Über die strahlungslosen Eigenschwingungen einer leitenden Kugel, die von einer Luftschicht und einer Ionosphärenhülle umgeben ist, Z. Naturforsch., 7a, 149-154, 1952.</w:t>
      </w:r>
    </w:p>
    <w:p w:rsidR="001B03C3" w:rsidRPr="00B60BC1" w:rsidRDefault="001B03C3" w:rsidP="00B60BC1">
      <w:pPr>
        <w:pStyle w:val="ListParagraph"/>
        <w:numPr>
          <w:ilvl w:val="0"/>
          <w:numId w:val="2"/>
        </w:numPr>
        <w:spacing w:line="240" w:lineRule="auto"/>
        <w:ind w:left="-284" w:right="283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B703F">
        <w:rPr>
          <w:rFonts w:ascii="Times New Roman" w:hAnsi="Times New Roman" w:cs="Times New Roman"/>
          <w:sz w:val="20"/>
          <w:szCs w:val="20"/>
          <w:lang w:val="de-DE"/>
        </w:rPr>
        <w:t>Wait, J. R. and Spies, K. P.: NBS Technical Note300</w:t>
      </w:r>
      <w:r w:rsidRPr="00B60BC1">
        <w:rPr>
          <w:rFonts w:ascii="Times New Roman" w:hAnsi="Times New Roman" w:cs="Times New Roman"/>
          <w:sz w:val="20"/>
          <w:szCs w:val="20"/>
          <w:lang w:val="en-US"/>
        </w:rPr>
        <w:t>: Characteristics of the Earth-ionosphere waveguide for VLF radio waves, edited by: U. S. D. o. National Bureau of Standards (now National Institute of Standards and Technology, NBS, 1964.</w:t>
      </w:r>
    </w:p>
    <w:sectPr w:rsidR="001B03C3" w:rsidRPr="00B60BC1" w:rsidSect="003B66D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C3" w:rsidRDefault="001B03C3" w:rsidP="003B66D9">
      <w:pPr>
        <w:spacing w:after="0" w:line="240" w:lineRule="auto"/>
      </w:pPr>
      <w:r>
        <w:separator/>
      </w:r>
    </w:p>
  </w:endnote>
  <w:endnote w:type="continuationSeparator" w:id="0">
    <w:p w:rsidR="001B03C3" w:rsidRDefault="001B03C3" w:rsidP="003B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C3" w:rsidRDefault="001B03C3" w:rsidP="003B66D9">
      <w:pPr>
        <w:spacing w:after="0" w:line="240" w:lineRule="auto"/>
      </w:pPr>
      <w:r>
        <w:separator/>
      </w:r>
    </w:p>
  </w:footnote>
  <w:footnote w:type="continuationSeparator" w:id="0">
    <w:p w:rsidR="001B03C3" w:rsidRDefault="001B03C3" w:rsidP="003B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2A8"/>
    <w:multiLevelType w:val="multilevel"/>
    <w:tmpl w:val="1ABE3D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1C0"/>
    <w:multiLevelType w:val="hybridMultilevel"/>
    <w:tmpl w:val="2ADCC6DC"/>
    <w:lvl w:ilvl="0" w:tplc="27CAEBC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03"/>
    <w:rsid w:val="00042B90"/>
    <w:rsid w:val="00081FAB"/>
    <w:rsid w:val="00087BD3"/>
    <w:rsid w:val="000A36F0"/>
    <w:rsid w:val="000B0816"/>
    <w:rsid w:val="000C1612"/>
    <w:rsid w:val="000E0FD8"/>
    <w:rsid w:val="000E561F"/>
    <w:rsid w:val="001242F6"/>
    <w:rsid w:val="0014587D"/>
    <w:rsid w:val="00185B7E"/>
    <w:rsid w:val="001A2FD2"/>
    <w:rsid w:val="001B03C3"/>
    <w:rsid w:val="001D09E9"/>
    <w:rsid w:val="001D649E"/>
    <w:rsid w:val="00210FB9"/>
    <w:rsid w:val="00266358"/>
    <w:rsid w:val="00275E8F"/>
    <w:rsid w:val="002A5F38"/>
    <w:rsid w:val="002F5EDA"/>
    <w:rsid w:val="0030556F"/>
    <w:rsid w:val="003154B1"/>
    <w:rsid w:val="00343999"/>
    <w:rsid w:val="003845E2"/>
    <w:rsid w:val="003A599A"/>
    <w:rsid w:val="003B66D9"/>
    <w:rsid w:val="003C6BA7"/>
    <w:rsid w:val="003C705F"/>
    <w:rsid w:val="003C79F2"/>
    <w:rsid w:val="003D17C4"/>
    <w:rsid w:val="003E78C5"/>
    <w:rsid w:val="003F1481"/>
    <w:rsid w:val="0044137B"/>
    <w:rsid w:val="004736B6"/>
    <w:rsid w:val="00526D12"/>
    <w:rsid w:val="005379C2"/>
    <w:rsid w:val="00564EAE"/>
    <w:rsid w:val="00591AC7"/>
    <w:rsid w:val="0059235C"/>
    <w:rsid w:val="005970B4"/>
    <w:rsid w:val="005B3195"/>
    <w:rsid w:val="005C74E1"/>
    <w:rsid w:val="00604921"/>
    <w:rsid w:val="00664A33"/>
    <w:rsid w:val="00666FB0"/>
    <w:rsid w:val="00683FC8"/>
    <w:rsid w:val="00691205"/>
    <w:rsid w:val="006D5FEB"/>
    <w:rsid w:val="00746C7B"/>
    <w:rsid w:val="00751254"/>
    <w:rsid w:val="007711C9"/>
    <w:rsid w:val="00775F88"/>
    <w:rsid w:val="0078249B"/>
    <w:rsid w:val="007B52D1"/>
    <w:rsid w:val="007D3C1F"/>
    <w:rsid w:val="007E79DD"/>
    <w:rsid w:val="00844BDB"/>
    <w:rsid w:val="008C7B70"/>
    <w:rsid w:val="008E1676"/>
    <w:rsid w:val="008F0503"/>
    <w:rsid w:val="009218CA"/>
    <w:rsid w:val="00925B34"/>
    <w:rsid w:val="009356B1"/>
    <w:rsid w:val="00967625"/>
    <w:rsid w:val="00970558"/>
    <w:rsid w:val="009902EC"/>
    <w:rsid w:val="009962D0"/>
    <w:rsid w:val="009B36A4"/>
    <w:rsid w:val="009B3D53"/>
    <w:rsid w:val="009F07AA"/>
    <w:rsid w:val="00A624C0"/>
    <w:rsid w:val="00A92704"/>
    <w:rsid w:val="00AA49B5"/>
    <w:rsid w:val="00AB20BC"/>
    <w:rsid w:val="00AF3773"/>
    <w:rsid w:val="00B15732"/>
    <w:rsid w:val="00B20FE5"/>
    <w:rsid w:val="00B376C1"/>
    <w:rsid w:val="00B4266E"/>
    <w:rsid w:val="00B51C16"/>
    <w:rsid w:val="00B60379"/>
    <w:rsid w:val="00B60BC1"/>
    <w:rsid w:val="00BB247C"/>
    <w:rsid w:val="00BB375D"/>
    <w:rsid w:val="00BE67D4"/>
    <w:rsid w:val="00C03681"/>
    <w:rsid w:val="00C0480A"/>
    <w:rsid w:val="00C06376"/>
    <w:rsid w:val="00C1238C"/>
    <w:rsid w:val="00C150F0"/>
    <w:rsid w:val="00C30739"/>
    <w:rsid w:val="00C334F8"/>
    <w:rsid w:val="00C36AB1"/>
    <w:rsid w:val="00C418A7"/>
    <w:rsid w:val="00C46B7B"/>
    <w:rsid w:val="00C63DDC"/>
    <w:rsid w:val="00C64659"/>
    <w:rsid w:val="00C90A61"/>
    <w:rsid w:val="00CB703F"/>
    <w:rsid w:val="00CB7FA4"/>
    <w:rsid w:val="00D025F1"/>
    <w:rsid w:val="00D12D9B"/>
    <w:rsid w:val="00D15702"/>
    <w:rsid w:val="00D27CBC"/>
    <w:rsid w:val="00D54DC3"/>
    <w:rsid w:val="00DD2EC7"/>
    <w:rsid w:val="00DE2BB2"/>
    <w:rsid w:val="00E22806"/>
    <w:rsid w:val="00E46B92"/>
    <w:rsid w:val="00E56458"/>
    <w:rsid w:val="00E57FCD"/>
    <w:rsid w:val="00EC28A3"/>
    <w:rsid w:val="00ED13C3"/>
    <w:rsid w:val="00F246C0"/>
    <w:rsid w:val="00F24E02"/>
    <w:rsid w:val="00F50CF3"/>
    <w:rsid w:val="00F6104C"/>
    <w:rsid w:val="00F62458"/>
    <w:rsid w:val="00F765C6"/>
    <w:rsid w:val="00F86FD1"/>
    <w:rsid w:val="00FE7D46"/>
    <w:rsid w:val="00F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A4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7F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B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F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6358"/>
    <w:rPr>
      <w:color w:val="808080"/>
    </w:rPr>
  </w:style>
  <w:style w:type="table" w:styleId="TableGrid">
    <w:name w:val="Table Grid"/>
    <w:basedOn w:val="TableNormal"/>
    <w:uiPriority w:val="99"/>
    <w:rsid w:val="00E2280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BB24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A5F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66D9"/>
  </w:style>
  <w:style w:type="paragraph" w:styleId="Footer">
    <w:name w:val="footer"/>
    <w:basedOn w:val="Normal"/>
    <w:link w:val="FooterChar"/>
    <w:uiPriority w:val="99"/>
    <w:rsid w:val="003B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6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mailto:eggoncharov@yandex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1248</Words>
  <Characters>7115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СОЛНЕЧНЫХ ВСПЫШЕК НА ЧАСТОТЫ ШУМАНОВСКОГО РЕЗОНАНСА</dc:title>
  <dc:subject/>
  <dc:creator>Admin</dc:creator>
  <cp:keywords/>
  <dc:description/>
  <cp:lastModifiedBy>Safargaleev</cp:lastModifiedBy>
  <cp:revision>2</cp:revision>
  <dcterms:created xsi:type="dcterms:W3CDTF">2016-10-19T08:59:00Z</dcterms:created>
  <dcterms:modified xsi:type="dcterms:W3CDTF">2016-10-19T08:59:00Z</dcterms:modified>
</cp:coreProperties>
</file>